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航空客流视角下的中国城市活力与年轻化研究——基于2026年暑期国内热门航线前十名的分析</w:t>
      </w:r>
    </w:p>
    <w:p>
      <w:r>
        <w:rPr>
          <w:b/>
        </w:rPr>
        <w:t>摘要：航空客流是观察城市间经济联系与人口流动活力的重要窗口。本文以航旅纵横民航官方直销平台2026年8月1日至18日国内热门航线前十名数据为分析样本，对榜单所涉及的北京、上海、广州、深圳、成都、杭州、昆明七座城市进行多维度考察。研究发现：十条热门航线全部集中于七城之间，呈现极强的空间集聚性；七城以约占全国9%的常住人口，创造了约占全国17%的地区生产总值，贡献了全国约七成的民航客运量，集聚了约600万在校大学生。其中，北上广深凭借经济体量、总部经济与庞大人口基数自然入选；成都、杭州作为新一线标杆，以数字经济、创新生态和强劲人口净流入跻身前列；昆明则凭借"春城"避暑气候、民族文化底蕴与面向南亚东南亚的枢纽地位，成为榜单中独具特色的旅游枢纽城市。研究认为，热门航线榜单实质上是城市"经济能量—人口年轻化—功能枢纽"三重逻辑的直观投影。</w:t>
      </w:r>
    </w:p>
    <w:p>
      <w:r>
        <w:rPr>
          <w:b/>
        </w:rPr>
        <w:t>关键词：航空客流；城市活力；人口年轻化；枢纽城市；热门航线</w:t>
      </w:r>
    </w:p>
    <w:p>
      <w:pPr>
        <w:pStyle w:val="Heading1"/>
      </w:pPr>
      <w:r>
        <w:t>一、引言：航空客流与城市活力的关系</w:t>
      </w:r>
    </w:p>
    <w:p>
      <w:r>
        <w:t>航空运输是长距离、高频次人口流动的主要载体，也是衡量城市间要素流动活跃度的核心指标。已有研究表明，机场客流量与城市经济总量、人口规模、商务活动强度之间存在显著正相关：商务出行依赖航空的时效性，旅游出行偏好航空的舒适性，探亲与求学客流同样向航空集聚。因此，一条航线的热度，在相当程度上就是两端城市经济联系密度与人口往来频率的"温度计"。</w:t>
      </w:r>
    </w:p>
    <w:p>
      <w:r>
        <w:t>航旅纵横平台数据显示，2026年8月1日至18日，国内热门航线前十名（不区分方向）依次为：北京—成都、上海—深圳、上海—广州、北京—广州、成都—深圳、广州—成都、北京—杭州、北京—昆明、杭州—深圳、成都—杭州。这十条航线全部连接于北京、上海、广州、深圳、成都、杭州、昆明七座城市之间，无一涉及其他城市。按出现频次计，北京与成都各出现4次并列第一，广州、深圳、杭州各3次，上海2次，昆明1次。暑期是民航客运的传统旺季，客流兼具商务、旅游、探亲、学生流多重属性，榜单因而更能综合反映城市的经济联系强度与人口吸引力。值得注意的是，传统客流榜首的京沪航线未入前十，这与京沪高铁将两地通勤压缩至4.5小时左右、对短途航空形成强替代有关；而榜单中的航线航程大多在1500公里以上，航空相对高铁具有明显时间优势，其热度更能代表"长距离、高价值"的刚性出行需求。本文以公开可查的统计公报数据为据，从城市规模与经济总量、人口结构与年轻化、创新活力、航空与商务旅游需求、区域辐射力五个维度，论证这七座城市正是中国当前最活跃、最年轻的城市群体。</w:t>
      </w:r>
    </w:p>
    <w:p>
      <w:pPr>
        <w:pStyle w:val="Heading1"/>
      </w:pPr>
      <w:r>
        <w:t>二、城市规模与经济总量：以约9%的人口创造约17%的GDP</w:t>
      </w:r>
    </w:p>
    <w:p>
      <w:r>
        <w:t>七城核心经济指标对比如下（表1）：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城市</w:t>
            </w:r>
          </w:p>
        </w:tc>
        <w:tc>
          <w:tcPr>
            <w:tcW w:type="dxa" w:w="1728"/>
          </w:tcPr>
          <w:p>
            <w:r>
              <w:t>常住人口(2023)</w:t>
            </w:r>
          </w:p>
        </w:tc>
        <w:tc>
          <w:tcPr>
            <w:tcW w:type="dxa" w:w="1728"/>
          </w:tcPr>
          <w:p>
            <w:r>
              <w:t>GDP(2024)</w:t>
            </w:r>
          </w:p>
        </w:tc>
        <w:tc>
          <w:tcPr>
            <w:tcW w:type="dxa" w:w="1728"/>
          </w:tcPr>
          <w:p>
            <w:r>
              <w:t>人均GDP(2024)</w:t>
            </w:r>
          </w:p>
        </w:tc>
        <w:tc>
          <w:tcPr>
            <w:tcW w:type="dxa" w:w="1728"/>
          </w:tcPr>
          <w:p>
            <w:r>
              <w:t>60岁以上占比(七普)</w:t>
            </w:r>
          </w:p>
        </w:tc>
      </w:tr>
      <w:tr>
        <w:tc>
          <w:tcPr>
            <w:tcW w:type="dxa" w:w="1728"/>
          </w:tcPr>
          <w:p>
            <w:r>
              <w:t>北京</w:t>
            </w:r>
          </w:p>
        </w:tc>
        <w:tc>
          <w:tcPr>
            <w:tcW w:type="dxa" w:w="1728"/>
          </w:tcPr>
          <w:p>
            <w:r>
              <w:t>约2186万</w:t>
            </w:r>
          </w:p>
        </w:tc>
        <w:tc>
          <w:tcPr>
            <w:tcW w:type="dxa" w:w="1728"/>
          </w:tcPr>
          <w:p>
            <w:r>
              <w:t>约4.98万亿</w:t>
            </w:r>
          </w:p>
        </w:tc>
        <w:tc>
          <w:tcPr>
            <w:tcW w:type="dxa" w:w="1728"/>
          </w:tcPr>
          <w:p>
            <w:r>
              <w:t>约22.8万元</w:t>
            </w:r>
          </w:p>
        </w:tc>
        <w:tc>
          <w:tcPr>
            <w:tcW w:type="dxa" w:w="1728"/>
          </w:tcPr>
          <w:p>
            <w:r>
              <w:t>19.6%</w:t>
            </w:r>
          </w:p>
        </w:tc>
      </w:tr>
      <w:tr>
        <w:tc>
          <w:tcPr>
            <w:tcW w:type="dxa" w:w="1728"/>
          </w:tcPr>
          <w:p>
            <w:r>
              <w:t>上海</w:t>
            </w:r>
          </w:p>
        </w:tc>
        <w:tc>
          <w:tcPr>
            <w:tcW w:type="dxa" w:w="1728"/>
          </w:tcPr>
          <w:p>
            <w:r>
              <w:t>约2487万</w:t>
            </w:r>
          </w:p>
        </w:tc>
        <w:tc>
          <w:tcPr>
            <w:tcW w:type="dxa" w:w="1728"/>
          </w:tcPr>
          <w:p>
            <w:r>
              <w:t>约5.39万亿</w:t>
            </w:r>
          </w:p>
        </w:tc>
        <w:tc>
          <w:tcPr>
            <w:tcW w:type="dxa" w:w="1728"/>
          </w:tcPr>
          <w:p>
            <w:r>
              <w:t>约21.7万元</w:t>
            </w:r>
          </w:p>
        </w:tc>
        <w:tc>
          <w:tcPr>
            <w:tcW w:type="dxa" w:w="1728"/>
          </w:tcPr>
          <w:p>
            <w:r>
              <w:t>23.4%</w:t>
            </w:r>
          </w:p>
        </w:tc>
      </w:tr>
      <w:tr>
        <w:tc>
          <w:tcPr>
            <w:tcW w:type="dxa" w:w="1728"/>
          </w:tcPr>
          <w:p>
            <w:r>
              <w:t>广州</w:t>
            </w:r>
          </w:p>
        </w:tc>
        <w:tc>
          <w:tcPr>
            <w:tcW w:type="dxa" w:w="1728"/>
          </w:tcPr>
          <w:p>
            <w:r>
              <w:t>约1883万</w:t>
            </w:r>
          </w:p>
        </w:tc>
        <w:tc>
          <w:tcPr>
            <w:tcW w:type="dxa" w:w="1728"/>
          </w:tcPr>
          <w:p>
            <w:r>
              <w:t>约3.10万亿</w:t>
            </w:r>
          </w:p>
        </w:tc>
        <w:tc>
          <w:tcPr>
            <w:tcW w:type="dxa" w:w="1728"/>
          </w:tcPr>
          <w:p>
            <w:r>
              <w:t>约16.5万元</w:t>
            </w:r>
          </w:p>
        </w:tc>
        <w:tc>
          <w:tcPr>
            <w:tcW w:type="dxa" w:w="1728"/>
          </w:tcPr>
          <w:p>
            <w:r>
              <w:t>11.4%</w:t>
            </w:r>
          </w:p>
        </w:tc>
      </w:tr>
      <w:tr>
        <w:tc>
          <w:tcPr>
            <w:tcW w:type="dxa" w:w="1728"/>
          </w:tcPr>
          <w:p>
            <w:r>
              <w:t>深圳</w:t>
            </w:r>
          </w:p>
        </w:tc>
        <w:tc>
          <w:tcPr>
            <w:tcW w:type="dxa" w:w="1728"/>
          </w:tcPr>
          <w:p>
            <w:r>
              <w:t>约1779万</w:t>
            </w:r>
          </w:p>
        </w:tc>
        <w:tc>
          <w:tcPr>
            <w:tcW w:type="dxa" w:w="1728"/>
          </w:tcPr>
          <w:p>
            <w:r>
              <w:t>约3.68万亿</w:t>
            </w:r>
          </w:p>
        </w:tc>
        <w:tc>
          <w:tcPr>
            <w:tcW w:type="dxa" w:w="1728"/>
          </w:tcPr>
          <w:p>
            <w:r>
              <w:t>约20.7万元</w:t>
            </w:r>
          </w:p>
        </w:tc>
        <w:tc>
          <w:tcPr>
            <w:tcW w:type="dxa" w:w="1728"/>
          </w:tcPr>
          <w:p>
            <w:r>
              <w:t>5.4%</w:t>
            </w:r>
          </w:p>
        </w:tc>
      </w:tr>
      <w:tr>
        <w:tc>
          <w:tcPr>
            <w:tcW w:type="dxa" w:w="1728"/>
          </w:tcPr>
          <w:p>
            <w:r>
              <w:t>成都</w:t>
            </w:r>
          </w:p>
        </w:tc>
        <w:tc>
          <w:tcPr>
            <w:tcW w:type="dxa" w:w="1728"/>
          </w:tcPr>
          <w:p>
            <w:r>
              <w:t>约2140万</w:t>
            </w:r>
          </w:p>
        </w:tc>
        <w:tc>
          <w:tcPr>
            <w:tcW w:type="dxa" w:w="1728"/>
          </w:tcPr>
          <w:p>
            <w:r>
              <w:t>约2.35万亿</w:t>
            </w:r>
          </w:p>
        </w:tc>
        <w:tc>
          <w:tcPr>
            <w:tcW w:type="dxa" w:w="1728"/>
          </w:tcPr>
          <w:p>
            <w:r>
              <w:t>约11.0万元</w:t>
            </w:r>
          </w:p>
        </w:tc>
        <w:tc>
          <w:tcPr>
            <w:tcW w:type="dxa" w:w="1728"/>
          </w:tcPr>
          <w:p>
            <w:r>
              <w:t>18.0%</w:t>
            </w:r>
          </w:p>
        </w:tc>
      </w:tr>
      <w:tr>
        <w:tc>
          <w:tcPr>
            <w:tcW w:type="dxa" w:w="1728"/>
          </w:tcPr>
          <w:p>
            <w:r>
              <w:t>杭州</w:t>
            </w:r>
          </w:p>
        </w:tc>
        <w:tc>
          <w:tcPr>
            <w:tcW w:type="dxa" w:w="1728"/>
          </w:tcPr>
          <w:p>
            <w:r>
              <w:t>约1252万</w:t>
            </w:r>
          </w:p>
        </w:tc>
        <w:tc>
          <w:tcPr>
            <w:tcW w:type="dxa" w:w="1728"/>
          </w:tcPr>
          <w:p>
            <w:r>
              <w:t>约2.19万亿</w:t>
            </w:r>
          </w:p>
        </w:tc>
        <w:tc>
          <w:tcPr>
            <w:tcW w:type="dxa" w:w="1728"/>
          </w:tcPr>
          <w:p>
            <w:r>
              <w:t>约17.5万元</w:t>
            </w:r>
          </w:p>
        </w:tc>
        <w:tc>
          <w:tcPr>
            <w:tcW w:type="dxa" w:w="1728"/>
          </w:tcPr>
          <w:p>
            <w:r>
              <w:t>16.9%</w:t>
            </w:r>
          </w:p>
        </w:tc>
      </w:tr>
      <w:tr>
        <w:tc>
          <w:tcPr>
            <w:tcW w:type="dxa" w:w="1728"/>
          </w:tcPr>
          <w:p>
            <w:r>
              <w:t>昆明</w:t>
            </w:r>
          </w:p>
        </w:tc>
        <w:tc>
          <w:tcPr>
            <w:tcW w:type="dxa" w:w="1728"/>
          </w:tcPr>
          <w:p>
            <w:r>
              <w:t>约868万</w:t>
            </w:r>
          </w:p>
        </w:tc>
        <w:tc>
          <w:tcPr>
            <w:tcW w:type="dxa" w:w="1728"/>
          </w:tcPr>
          <w:p>
            <w:r>
              <w:t>约8000亿</w:t>
            </w:r>
          </w:p>
        </w:tc>
        <w:tc>
          <w:tcPr>
            <w:tcW w:type="dxa" w:w="1728"/>
          </w:tcPr>
          <w:p>
            <w:r>
              <w:t>约9.2万元</w:t>
            </w:r>
          </w:p>
        </w:tc>
        <w:tc>
          <w:tcPr>
            <w:tcW w:type="dxa" w:w="1728"/>
          </w:tcPr>
          <w:p>
            <w:r>
              <w:t>约15%</w:t>
            </w:r>
          </w:p>
        </w:tc>
      </w:tr>
    </w:tbl>
    <w:p>
      <w:r>
        <w:t>（全国参考：GDP约134.9万亿，人均GDP约9.6万元，60岁以上占比18.7%）</w:t>
      </w:r>
    </w:p>
    <w:p>
      <w:r>
        <w:t>七城GDP合计约22.5万亿元，占全国约17%；常住人口合计约1.26亿，占全国约9%，即七城以不足全国十分之一的人口，产出了超过全国六分之一的财富，单位人口产出效率约为全国平均水平的1.9倍。从梯队看：上海、北京GDP双双突破5万亿元量级，深圳、广州超过3万亿元，构成中国经济的第一梯队，其庞大的经济体量决定了与全国各地的商务联系密度；成都、杭州均超2万亿元，是新一线城市中经济体量最大的城市；昆明虽未达万亿，但约占云南省经济总量的四分之一。产业能级决定了差旅需求强度——上海的金融与跨国公司总部、北京的央企总部与科创中心、深圳的全球科技制造、广州的千年商都与汽车产业、成都的电子信息与文创游戏、杭州的数字经济、昆明的旅游与生物医药，均属高附加值、高流动性的产业形态，天然催生高频商务出行。</w:t>
      </w:r>
    </w:p>
    <w:p>
      <w:pPr>
        <w:pStyle w:val="Heading1"/>
      </w:pPr>
      <w:r>
        <w:t>三、人口规模与年轻化结构：七城集聚全国约七分之一的大学生</w:t>
      </w:r>
    </w:p>
    <w:p>
      <w:r>
        <w:t>从人口规模看，七城均为千万级或准千万级人口城市：上海、北京、成都常住人口均超过2000万，广州、深圳超过1700万，杭州超过1200万，昆明近900万。更重要的是人口结构的"年轻化"，体现在三个层面。</w:t>
      </w:r>
    </w:p>
    <w:p>
      <w:r>
        <w:t>其一，年龄结构年轻。第七次全国人口普查（2020年）数据显示，深圳60岁及以上人口占比仅5.4%，是全国老龄化程度最低的城市之一，常住人口平均年龄约33岁，堪称"中国最年轻的一线城市"；广州为11.4%，昆明约15%，杭州16.9%，成都18.0%，均低于全国18.7%的平均水平。其二，学历结构年轻。北京每10万人中拥有大学文化程度的人口约4.2万，居全国首位，上海约3.4万，广州、深圳、杭州均超过2.7万；北京在学研究生规模约40万，居全国城市第一，每年数十万高校毕业生留京留沪，形成"学历意义上的年轻化"。其三，流量结构年轻。2023年，杭州常住人口增加约14.6万、成都增加约13.5万、深圳增加约12.8万、上海增加约11.6万、广州增加约9.3万，均居全国前列，昆明亦保持稳步净流入；北京虽受人口调控影响增量有限，但高学历人口持续净流入。</w:t>
      </w:r>
    </w:p>
    <w:p>
      <w:r>
        <w:t>大学生规模是衡量城市"青春含量"的关键指标（表2）。七城普通高校在校生（含研究生，约数）合计约600万人，约占全国在校大学生总数的七分之一，其中广州约140万、长期位居全国前二，成都约110万，北京约100万，上海约85万，杭州约70万，昆明约50万，深圳虽起步较晚但已快速增至约30万。大规模青年学生群体既是城市创新的人才蓄水池，也是暑期航空客流中"学生流"的重要组成部分。</w:t>
      </w:r>
    </w:p>
    <w:p>
      <w:pPr>
        <w:pStyle w:val="Heading1"/>
      </w:pPr>
      <w:r>
        <w:t>四、城市创新活力：高新技术企业的"超级集聚"</w:t>
      </w:r>
    </w:p>
    <w:p>
      <w:r>
        <w:t>创新活力是城市吸引年轻人、维系高流动性出行的根本动力。从高新技术企业规模看（表2），北京约2.8万家、深圳约2.5万家、上海约2.4万家，稳居全国前三；广州、成都、杭州各约1.3万家；昆明约3000家。七城合计约11.9万家，约占全国高新技术企业总量（约46万家）的四分之一。从独角兽企业分布看，北京长期居全国首位（约百家），上海、深圳、杭州、广州分列其后，四城合计约占全国近半数；成都依托电子信息与文创生态孵化了一批独角兽，昆明则以生物医药（疫苗）、绿色能源等特色赛道培育创新主体。</w:t>
      </w:r>
    </w:p>
    <w:p>
      <w:r>
        <w:t>具体来看：北京中关村与上海张江是国家级科创策源地；深圳PCT国际专利申请量连续多年居全国城市第一，华为、腾讯、比亚迪、大疆等企业构建了全球性创新网络；杭州以阿里巴巴生态为核心，数字经济核心产业增加值占GDP比重接近三成，电商与直播经济吸纳了大量年轻就业人口；成都拥有中西部最密集的科研院所与世界500强企业落户数（超过300家，居中西部首位），天府软件园集聚了全国领先的游戏动漫产业；昆明的滇中生物医药与高原特色农业科技亦形成独特优势。创新浓度越高，人才流动越频繁，跨城商务出行需求越旺盛——这正是七城航线全面霸榜的内在逻辑。</w:t>
      </w:r>
    </w:p>
    <w:p>
      <w:pPr>
        <w:pStyle w:val="Heading1"/>
      </w:pPr>
      <w:r>
        <w:t>五、航空需求与商务、旅游活跃度</w:t>
      </w:r>
    </w:p>
    <w:p>
      <w:r>
        <w:t>机场吞吐量是城市航空需求的直接度量（表2）：2024年，上海浦东、虹桥两场合计约1.24亿人次，北京首都、大兴两场合计约1.1亿人次，成都双流、天府两场合计约8000万人次（居全国城市第三），广州白云机场约7600万人次、居全国单场前列，深圳宝安约6100万人次，昆明长水约4900万人次，杭州萧山约4700万人次。七城机场合计年旅客吞吐量约5.5亿人次，约占全国民航客运总量（2024年约7.3亿人次）的七成，集聚效应极为突出。</w:t>
      </w:r>
    </w:p>
    <w:p>
      <w:r>
        <w:t>榜单中的十条航线恰是"商务+旅游"双轮驱动的典型：北京—成都、上海—广州、广州—成都等是连接政治/金融中心与区域增长极的商务干线，客源以企业差旅为主，客单价高、频次稳定；北京—昆明、成都—杭州等则叠加了显著的旅游属性。8月正值暑期，亲子游、避暑游、毕业旅行集中释放，昆明、杭州、成都等旅游目的地城市客流大幅攀升。可以说，七城之间密集的航线网络，既是经济联系的动脉，也是消费活力的晴雨表。</w:t>
      </w:r>
    </w:p>
    <w:p>
      <w:pPr>
        <w:pStyle w:val="Heading1"/>
      </w:pPr>
      <w:r>
        <w:t>六、区域辐射力：从城市节点到区域枢纽</w:t>
      </w:r>
    </w:p>
    <w:p>
      <w:r>
        <w:t>七城无一例外都是所在区域的绝对枢纽。北京辐射京津冀及华北，上海是长三角龙头，广州、深圳构成粤港澳大湾区双核，成都引领成渝地区双城经济圈，杭州带动长三角南翼，昆明则是面向南亚东南亚的辐射中心。多枢纽、双机场格局（北京、上海、成都均拥有双大型机场）进一步放大了这些城市的集散功能：成都天府机场开通后，成都成为中西部唯一拥有双4F级机场的城市，辐射云贵川藏及西北；昆明长水机场定位为面向南亚东南亚的国际航空枢纽，航线网络覆盖东南亚主要城市，配合中老铁路（2021年通车，昆明—万象）与泛亚通道建设，昆明已成为中国与东南亚之间人员、货物往来的关键门户。区域辐射力越强，城市对周边人口的"虹吸"越明显，人口净流入与航空客流由此形成正反馈循环。</w:t>
      </w:r>
    </w:p>
    <w:p>
      <w:pPr>
        <w:pStyle w:val="Heading1"/>
      </w:pPr>
      <w:r>
        <w:t>七、昆明入选的特殊逻辑："功能型年轻"的旅游枢纽</w:t>
      </w:r>
    </w:p>
    <w:p>
      <w:r>
        <w:t>在榜单七城中，昆明是唯一的非万亿GDP城市，常住人口不足900万，其入选看似意外，实则体现了榜单的另一重逻辑——旅游枢纽与"功能型年轻"。第一，"春城"避暑气候。昆明年均气温约15℃，盛夏七月平均气温仅约20℃，是全国最著名的避暑胜地之一；8月正值全国高温期，避暑客流大量涌入，航空需求随之冲高。第二，旅游集散门户。云南省2023年接待游客超10亿人次、旅游总收入达1.44万亿元，均创历史新高，昆明长水机场是进入云南及滇西北黄金旅游线（大理—丽江—香格里拉）的空中门户，承担了全省主要航空进出港客流。第三，民族文化与四季旅游。云南聚居着25个少数民族，民族文化资源富集，昆明作为省会汇聚了民族文化体验、会展（联合国《生物多样性公约》缔约方大会第十五次会议2021年于昆明举办）等多元消费场景，对青年游客有持续吸引力。第四，枢纽辐射功能。昆明面向南亚东南亚的区位优势使其成为商务、会展、跨境旅游的交汇点。因此，昆明的"年轻"不在于户籍年龄结构，而在于其每年吸纳海量年轻游客与商务客流的"流量年轻"——机场吞吐量近5000万人次、稳居全国前十，超过不少GDP万亿城市，正是这种功能型活力的直接证明。</w:t>
      </w:r>
    </w:p>
    <w:p>
      <w:pPr>
        <w:pStyle w:val="Heading1"/>
      </w:pPr>
      <w:r>
        <w:t>八、结论</w:t>
      </w:r>
    </w:p>
    <w:p>
      <w:r>
        <w:t>本文的实证分析表明，航旅纵横2026年暑期国内热门航线前十名榜单并非偶然，而是城市综合实力的精确投射：北上广深凭借经济体量、总部经济与人口基数"自然入选"；成都、杭州以新一线标杆之姿，凭借数字经济、创新生态与全国领先的人口净流入强势上榜；昆明则以避暑旅游、民族文化与面向南亚东南亚的枢纽地位占据一席。七城以约占全国9%的人口创造约17%的GDP、贡献约七成民航客运量、集聚约七分之一在校大学生，共同构成了中国最活跃、最年轻的城市群体。航空热力与城市活力高度耦合，这一结论的政策启示在于：航空网络已成为城市竞争力的重要基础设施，而"人流"背后的青年人才吸引力与文旅供给能力，将是未来城市竞争的关键变量。</w:t>
      </w:r>
    </w:p>
    <w:p>
      <w:pPr>
        <w:pStyle w:val="Heading1"/>
      </w:pPr>
      <w:r>
        <w:t>参考文献</w:t>
      </w:r>
    </w:p>
    <w:p>
      <w:r>
        <w:t>[1] 国家统计局. 中华人民共和国2024年国民经济和社会发展统计公报[R]. 2025.</w:t>
      </w:r>
    </w:p>
    <w:p>
      <w:r>
        <w:t>[2] 北京、上海、广州、深圳、成都、杭州、昆明市统计局. 各市2024年国民经济和社会发展统计公报[R]. 2025.</w:t>
      </w:r>
    </w:p>
    <w:p>
      <w:r>
        <w:t>[3] 国务院第七次全国人口普查领导小组办公室. 第七次全国人口普查主要数据公报（各市分册）[R]. 2021.</w:t>
      </w:r>
    </w:p>
    <w:p>
      <w:r>
        <w:t>[4] 中国民用航空局. 2024年民航行业发展统计公报[R]. 2025.</w:t>
      </w:r>
    </w:p>
    <w:p>
      <w:r>
        <w:t>[5] 航旅纵横（中航信）民航官方直销平台. 2026年8月1日—18日国内热门航线TOP10数据[DB/OL].</w:t>
      </w:r>
    </w:p>
    <w:p>
      <w:r>
        <w:t>[6] 长城战略咨询. 中国独角兽企业研究报告2024[R]. 2024.</w:t>
      </w:r>
    </w:p>
    <w:p>
      <w:r>
        <w:t>[7] 云南省统计局. 云南省2023年国民经济和社会发展统计公报[R]. 2024.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</w:pPr>
    <w:rPr>
      <w:rFonts w:ascii="微软雅黑" w:hAnsi="微软雅黑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